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EFF05FA" w14:textId="77777777" w:rsidR="00532B55" w:rsidRDefault="00862B11">
      <w:pPr>
        <w:rPr>
          <w:sz w:val="28"/>
          <w:szCs w:val="28"/>
        </w:rPr>
      </w:pPr>
      <w:r>
        <w:rPr>
          <w:b/>
          <w:sz w:val="28"/>
          <w:szCs w:val="28"/>
        </w:rPr>
        <w:t xml:space="preserve">Contact Information: </w:t>
      </w:r>
    </w:p>
    <w:p w14:paraId="289518F8" w14:textId="77777777" w:rsidR="00532B55" w:rsidRDefault="00532B55">
      <w:pPr>
        <w:rPr>
          <w:sz w:val="28"/>
          <w:szCs w:val="28"/>
        </w:rPr>
      </w:pPr>
    </w:p>
    <w:p w14:paraId="7AEBB111" w14:textId="77777777" w:rsidR="00532B55" w:rsidRDefault="00862B11">
      <w:pPr>
        <w:rPr>
          <w:sz w:val="28"/>
          <w:szCs w:val="28"/>
        </w:rPr>
      </w:pPr>
      <w:r>
        <w:rPr>
          <w:b/>
          <w:sz w:val="28"/>
          <w:szCs w:val="28"/>
        </w:rPr>
        <w:t>Isaac R. Navarro, DMD, MPH</w:t>
      </w:r>
    </w:p>
    <w:p w14:paraId="3EF4C440" w14:textId="77777777" w:rsidR="00532B55" w:rsidRDefault="00862B11">
      <w:pPr>
        <w:rPr>
          <w:sz w:val="28"/>
          <w:szCs w:val="28"/>
        </w:rPr>
      </w:pPr>
      <w:r>
        <w:rPr>
          <w:b/>
          <w:sz w:val="28"/>
          <w:szCs w:val="28"/>
        </w:rPr>
        <w:t>National Director of COPC</w:t>
      </w:r>
    </w:p>
    <w:p w14:paraId="4F199474" w14:textId="77777777" w:rsidR="00532B55" w:rsidRDefault="00532B55">
      <w:pPr>
        <w:rPr>
          <w:sz w:val="28"/>
          <w:szCs w:val="28"/>
        </w:rPr>
      </w:pPr>
    </w:p>
    <w:p w14:paraId="236111BD" w14:textId="77777777" w:rsidR="00532B55" w:rsidRDefault="00862B11">
      <w:pPr>
        <w:rPr>
          <w:sz w:val="28"/>
          <w:szCs w:val="28"/>
        </w:rPr>
      </w:pPr>
      <w:r>
        <w:rPr>
          <w:b/>
          <w:sz w:val="28"/>
          <w:szCs w:val="28"/>
        </w:rPr>
        <w:t>inavarro@atsu.edu</w:t>
      </w:r>
    </w:p>
    <w:p w14:paraId="5DF25334" w14:textId="77777777" w:rsidR="00532B55" w:rsidRDefault="00862B11">
      <w:pPr>
        <w:rPr>
          <w:sz w:val="28"/>
          <w:szCs w:val="28"/>
        </w:rPr>
      </w:pPr>
      <w:r>
        <w:rPr>
          <w:b/>
          <w:sz w:val="28"/>
          <w:szCs w:val="28"/>
        </w:rPr>
        <w:t>navarroi@thewrightcenter.org</w:t>
      </w:r>
    </w:p>
    <w:p w14:paraId="346EE009" w14:textId="77777777" w:rsidR="00532B55" w:rsidRDefault="00532B55">
      <w:pPr>
        <w:rPr>
          <w:sz w:val="28"/>
          <w:szCs w:val="28"/>
        </w:rPr>
      </w:pPr>
    </w:p>
    <w:p w14:paraId="1C959390" w14:textId="77777777" w:rsidR="00532B55" w:rsidRDefault="00862B11">
      <w:pPr>
        <w:rPr>
          <w:sz w:val="28"/>
          <w:szCs w:val="28"/>
        </w:rPr>
      </w:pPr>
      <w:r>
        <w:rPr>
          <w:b/>
          <w:sz w:val="28"/>
          <w:szCs w:val="28"/>
        </w:rPr>
        <w:t>(559) 303-4855</w:t>
      </w:r>
    </w:p>
    <w:p w14:paraId="314AAA12" w14:textId="77777777" w:rsidR="00532B55" w:rsidRDefault="00532B55">
      <w:pPr>
        <w:rPr>
          <w:sz w:val="28"/>
          <w:szCs w:val="28"/>
        </w:rPr>
      </w:pPr>
    </w:p>
    <w:p w14:paraId="186B3534" w14:textId="77777777" w:rsidR="00532B55" w:rsidRDefault="00862B11">
      <w:pPr>
        <w:rPr>
          <w:sz w:val="28"/>
          <w:szCs w:val="28"/>
        </w:rPr>
      </w:pPr>
      <w:r>
        <w:rPr>
          <w:b/>
          <w:sz w:val="28"/>
          <w:szCs w:val="28"/>
        </w:rPr>
        <w:t xml:space="preserve">Dr. Navarro is available via e-mail at all times.  Office hours can be scheduled on an as needed basis.  30-minute appointments can be made to accommodate the residents’ schedule. </w:t>
      </w:r>
    </w:p>
    <w:p w14:paraId="63E4DC5D" w14:textId="77777777" w:rsidR="00532B55" w:rsidRDefault="00532B55">
      <w:pPr>
        <w:rPr>
          <w:sz w:val="28"/>
          <w:szCs w:val="28"/>
        </w:rPr>
      </w:pPr>
    </w:p>
    <w:p w14:paraId="5DE6B8C5" w14:textId="7DBF51AF" w:rsidR="00532B55" w:rsidRDefault="00862B11">
      <w:pPr>
        <w:rPr>
          <w:b/>
          <w:sz w:val="28"/>
          <w:szCs w:val="28"/>
        </w:rPr>
      </w:pPr>
      <w:r>
        <w:rPr>
          <w:b/>
          <w:sz w:val="28"/>
          <w:szCs w:val="28"/>
        </w:rPr>
        <w:t xml:space="preserve">COPC Reports will occur on the second </w:t>
      </w:r>
      <w:r w:rsidR="00A610A5">
        <w:rPr>
          <w:b/>
          <w:sz w:val="28"/>
          <w:szCs w:val="28"/>
        </w:rPr>
        <w:t>Wednesday</w:t>
      </w:r>
      <w:r>
        <w:rPr>
          <w:b/>
          <w:sz w:val="28"/>
          <w:szCs w:val="28"/>
        </w:rPr>
        <w:t xml:space="preserve"> of each month. </w:t>
      </w:r>
    </w:p>
    <w:p w14:paraId="774B475D" w14:textId="77777777" w:rsidR="00B878B7" w:rsidRDefault="00B878B7">
      <w:pPr>
        <w:rPr>
          <w:b/>
          <w:sz w:val="28"/>
          <w:szCs w:val="28"/>
        </w:rPr>
      </w:pPr>
    </w:p>
    <w:p w14:paraId="1DFDA6E9" w14:textId="77777777" w:rsidR="00B878B7" w:rsidRDefault="00B878B7">
      <w:pPr>
        <w:rPr>
          <w:b/>
          <w:sz w:val="28"/>
          <w:szCs w:val="28"/>
        </w:rPr>
      </w:pPr>
      <w:r>
        <w:rPr>
          <w:b/>
          <w:sz w:val="28"/>
          <w:szCs w:val="28"/>
        </w:rPr>
        <w:t>Online Learning Modules</w:t>
      </w:r>
    </w:p>
    <w:p w14:paraId="26F8F051" w14:textId="77777777" w:rsidR="00B878B7" w:rsidRDefault="00B878B7">
      <w:pPr>
        <w:rPr>
          <w:b/>
          <w:sz w:val="28"/>
          <w:szCs w:val="28"/>
        </w:rPr>
      </w:pPr>
    </w:p>
    <w:p w14:paraId="37282BB1" w14:textId="77777777" w:rsidR="00B878B7" w:rsidRDefault="00B878B7">
      <w:r>
        <w:t xml:space="preserve">A vital component to resident development in Community Oriented Primary Care (COPC) methods is learning through various didactic modules.  The following modules are required to be completed by all residents. </w:t>
      </w:r>
    </w:p>
    <w:p w14:paraId="1B20FE18" w14:textId="77777777" w:rsidR="00B878B7" w:rsidRDefault="00B878B7"/>
    <w:p w14:paraId="5BC09B8F" w14:textId="77777777" w:rsidR="00B878B7" w:rsidRDefault="00B878B7" w:rsidP="00B878B7">
      <w:pPr>
        <w:jc w:val="both"/>
        <w:rPr>
          <w:b/>
        </w:rPr>
      </w:pPr>
      <w:r>
        <w:rPr>
          <w:b/>
        </w:rPr>
        <w:t>Robert Graham Center Modules and Case Study</w:t>
      </w:r>
    </w:p>
    <w:p w14:paraId="071CA9AD" w14:textId="77777777" w:rsidR="00310B2B" w:rsidRDefault="00310B2B" w:rsidP="00B878B7">
      <w:pPr>
        <w:jc w:val="both"/>
        <w:rPr>
          <w:b/>
        </w:rPr>
      </w:pPr>
    </w:p>
    <w:p w14:paraId="71A5F476" w14:textId="77777777" w:rsidR="00310B2B" w:rsidRPr="00310B2B" w:rsidRDefault="00310B2B" w:rsidP="00B878B7">
      <w:pPr>
        <w:jc w:val="both"/>
        <w:rPr>
          <w:i/>
        </w:rPr>
      </w:pPr>
      <w:r w:rsidRPr="00310B2B">
        <w:rPr>
          <w:i/>
        </w:rPr>
        <w:t>Completed in COPC Block 1</w:t>
      </w:r>
    </w:p>
    <w:p w14:paraId="06A04FED" w14:textId="77777777" w:rsidR="00310B2B" w:rsidRDefault="00310B2B" w:rsidP="00B878B7">
      <w:pPr>
        <w:jc w:val="both"/>
      </w:pPr>
    </w:p>
    <w:p w14:paraId="4F26F0B8" w14:textId="77777777" w:rsidR="00310B2B" w:rsidRDefault="00310B2B" w:rsidP="00310B2B">
      <w:pPr>
        <w:rPr>
          <w:rFonts w:eastAsia="Times New Roman"/>
          <w:color w:val="000000" w:themeColor="text1"/>
          <w:shd w:val="clear" w:color="auto" w:fill="FFFFFF"/>
        </w:rPr>
      </w:pPr>
      <w:r w:rsidRPr="00310B2B">
        <w:rPr>
          <w:rFonts w:eastAsia="Times New Roman"/>
          <w:color w:val="000000" w:themeColor="text1"/>
          <w:shd w:val="clear" w:color="auto" w:fill="FFFFFF"/>
        </w:rPr>
        <w:t>The Community Oriented Primary Care (COPC) curriculum was developed to inform trainees at educational health centers about the basic tenets of COPC and provide tools for students to understand how to set up and manage COPC implementations in their communities. Resources include slides and note sets; pre-activity and case study modules with sample data; walkthroughs of online geographic information systems (GIS) tools with sample data; and resource guides.</w:t>
      </w:r>
    </w:p>
    <w:p w14:paraId="23ED9079" w14:textId="77777777" w:rsidR="00310B2B" w:rsidRDefault="00310B2B" w:rsidP="00310B2B">
      <w:pPr>
        <w:rPr>
          <w:rFonts w:eastAsia="Times New Roman"/>
          <w:color w:val="000000" w:themeColor="text1"/>
          <w:shd w:val="clear" w:color="auto" w:fill="FFFFFF"/>
        </w:rPr>
      </w:pPr>
    </w:p>
    <w:p w14:paraId="6BCC2C53" w14:textId="77777777" w:rsidR="00310B2B" w:rsidRDefault="00310B2B" w:rsidP="00310B2B">
      <w:pPr>
        <w:rPr>
          <w:rFonts w:eastAsia="Times New Roman"/>
          <w:b/>
          <w:color w:val="000000" w:themeColor="text1"/>
          <w:shd w:val="clear" w:color="auto" w:fill="FFFFFF"/>
        </w:rPr>
      </w:pPr>
      <w:r>
        <w:rPr>
          <w:rFonts w:eastAsia="Times New Roman"/>
          <w:b/>
          <w:color w:val="000000" w:themeColor="text1"/>
          <w:shd w:val="clear" w:color="auto" w:fill="FFFFFF"/>
        </w:rPr>
        <w:t>Health Care Delivery Science (HCDS) Modules</w:t>
      </w:r>
    </w:p>
    <w:p w14:paraId="12CD591A" w14:textId="77777777" w:rsidR="00310B2B" w:rsidRDefault="00310B2B" w:rsidP="00310B2B">
      <w:pPr>
        <w:rPr>
          <w:rFonts w:eastAsia="Times New Roman"/>
          <w:i/>
          <w:color w:val="000000" w:themeColor="text1"/>
          <w:shd w:val="clear" w:color="auto" w:fill="FFFFFF"/>
        </w:rPr>
      </w:pPr>
      <w:r>
        <w:rPr>
          <w:rFonts w:eastAsia="Times New Roman"/>
          <w:b/>
          <w:color w:val="000000" w:themeColor="text1"/>
          <w:shd w:val="clear" w:color="auto" w:fill="FFFFFF"/>
        </w:rPr>
        <w:br/>
      </w:r>
      <w:r w:rsidRPr="00310B2B">
        <w:rPr>
          <w:rFonts w:eastAsia="Times New Roman"/>
          <w:i/>
          <w:color w:val="000000" w:themeColor="text1"/>
          <w:shd w:val="clear" w:color="auto" w:fill="FFFFFF"/>
        </w:rPr>
        <w:t>On</w:t>
      </w:r>
      <w:r>
        <w:rPr>
          <w:rFonts w:eastAsia="Times New Roman"/>
          <w:i/>
          <w:color w:val="000000" w:themeColor="text1"/>
          <w:shd w:val="clear" w:color="auto" w:fill="FFFFFF"/>
        </w:rPr>
        <w:t>e module per COPC block, n</w:t>
      </w:r>
      <w:r w:rsidRPr="00310B2B">
        <w:rPr>
          <w:rFonts w:eastAsia="Times New Roman"/>
          <w:i/>
          <w:color w:val="000000" w:themeColor="text1"/>
          <w:shd w:val="clear" w:color="auto" w:fill="FFFFFF"/>
        </w:rPr>
        <w:t xml:space="preserve">ine Modules total. </w:t>
      </w:r>
    </w:p>
    <w:p w14:paraId="6ADFF21D" w14:textId="77777777" w:rsidR="00310B2B" w:rsidRDefault="00310B2B" w:rsidP="00310B2B">
      <w:pPr>
        <w:rPr>
          <w:rFonts w:eastAsia="Times New Roman"/>
          <w:i/>
          <w:color w:val="000000" w:themeColor="text1"/>
          <w:shd w:val="clear" w:color="auto" w:fill="FFFFFF"/>
        </w:rPr>
      </w:pPr>
    </w:p>
    <w:p w14:paraId="2C58412A" w14:textId="2862037B" w:rsidR="00310B2B" w:rsidRDefault="00310B2B" w:rsidP="00310B2B">
      <w:r>
        <w:lastRenderedPageBreak/>
        <w:t>The purpose of the</w:t>
      </w:r>
      <w:bookmarkStart w:id="0" w:name="_GoBack"/>
      <w:bookmarkEnd w:id="0"/>
      <w:r>
        <w:t xml:space="preserve"> HCDS modules is to enhance the training e</w:t>
      </w:r>
      <w:r w:rsidR="00DE08D6">
        <w:t>xperience for NFMR residents completing the COPC curriculum</w:t>
      </w:r>
      <w:r>
        <w:t xml:space="preserve"> by increasing residents</w:t>
      </w:r>
      <w:r w:rsidR="00841028">
        <w:t>’ knowledge</w:t>
      </w:r>
      <w:r>
        <w:t xml:space="preserve"> of </w:t>
      </w:r>
      <w:proofErr w:type="spellStart"/>
      <w:r>
        <w:t>interprofessional</w:t>
      </w:r>
      <w:proofErr w:type="spellEnd"/>
      <w:r>
        <w:t xml:space="preserve"> </w:t>
      </w:r>
      <w:r w:rsidR="00841028">
        <w:t xml:space="preserve">practice, quality in health care, </w:t>
      </w:r>
      <w:r>
        <w:t>and health care finance</w:t>
      </w:r>
      <w:r w:rsidR="00841028">
        <w:t>.</w:t>
      </w:r>
    </w:p>
    <w:p w14:paraId="50C8C132" w14:textId="77777777" w:rsidR="00841028" w:rsidRDefault="00841028" w:rsidP="00310B2B"/>
    <w:p w14:paraId="40A88C4E" w14:textId="77777777" w:rsidR="00841028" w:rsidRDefault="00841028" w:rsidP="00310B2B">
      <w:r>
        <w:t>Each module is due upon completion of each COPC block and will consist of.</w:t>
      </w:r>
    </w:p>
    <w:p w14:paraId="1D1B70D1" w14:textId="77777777" w:rsidR="00841028" w:rsidRDefault="00841028" w:rsidP="00310B2B"/>
    <w:p w14:paraId="40C3CBA8" w14:textId="77777777" w:rsidR="00841028" w:rsidRPr="00A610A5" w:rsidRDefault="00841028" w:rsidP="00841028">
      <w:pPr>
        <w:pStyle w:val="ListParagraph"/>
        <w:numPr>
          <w:ilvl w:val="0"/>
          <w:numId w:val="3"/>
        </w:numPr>
        <w:rPr>
          <w:rFonts w:eastAsia="Times New Roman"/>
          <w:color w:val="000000" w:themeColor="text1"/>
        </w:rPr>
      </w:pPr>
      <w:r w:rsidRPr="00A610A5">
        <w:rPr>
          <w:rFonts w:eastAsia="Times New Roman"/>
          <w:color w:val="000000" w:themeColor="text1"/>
        </w:rPr>
        <w:t>1 pre-recorded lecture</w:t>
      </w:r>
    </w:p>
    <w:p w14:paraId="3268BBAE" w14:textId="77777777" w:rsidR="00841028" w:rsidRPr="00A610A5" w:rsidRDefault="00841028" w:rsidP="00841028">
      <w:pPr>
        <w:pStyle w:val="ListParagraph"/>
        <w:numPr>
          <w:ilvl w:val="0"/>
          <w:numId w:val="3"/>
        </w:numPr>
        <w:rPr>
          <w:rFonts w:eastAsia="Times New Roman"/>
          <w:color w:val="000000" w:themeColor="text1"/>
        </w:rPr>
      </w:pPr>
      <w:r w:rsidRPr="00A610A5">
        <w:rPr>
          <w:rFonts w:eastAsia="Times New Roman"/>
          <w:color w:val="000000" w:themeColor="text1"/>
        </w:rPr>
        <w:t>Reading assignments</w:t>
      </w:r>
    </w:p>
    <w:p w14:paraId="76F4DF45" w14:textId="77777777" w:rsidR="00841028" w:rsidRPr="00A610A5" w:rsidRDefault="00841028" w:rsidP="00841028">
      <w:pPr>
        <w:pStyle w:val="ListParagraph"/>
        <w:numPr>
          <w:ilvl w:val="0"/>
          <w:numId w:val="3"/>
        </w:numPr>
        <w:rPr>
          <w:rFonts w:eastAsia="Times New Roman"/>
          <w:color w:val="000000" w:themeColor="text1"/>
        </w:rPr>
      </w:pPr>
      <w:r w:rsidRPr="00A610A5">
        <w:rPr>
          <w:rFonts w:eastAsia="Times New Roman"/>
          <w:color w:val="000000" w:themeColor="text1"/>
        </w:rPr>
        <w:t>Written assignment related to a case in the SOMA-ATSU Virtual Community Health Center</w:t>
      </w:r>
    </w:p>
    <w:p w14:paraId="2B264AD6" w14:textId="77777777" w:rsidR="00B878B7" w:rsidRPr="00310B2B" w:rsidRDefault="00B878B7"/>
    <w:p w14:paraId="7711B574" w14:textId="77777777" w:rsidR="00532B55" w:rsidRDefault="00532B55">
      <w:pPr>
        <w:rPr>
          <w:sz w:val="28"/>
          <w:szCs w:val="28"/>
        </w:rPr>
      </w:pPr>
    </w:p>
    <w:p w14:paraId="7D6B0871" w14:textId="77777777" w:rsidR="00532B55" w:rsidRDefault="00862B11">
      <w:pPr>
        <w:rPr>
          <w:sz w:val="28"/>
          <w:szCs w:val="28"/>
        </w:rPr>
      </w:pPr>
      <w:r>
        <w:rPr>
          <w:b/>
          <w:sz w:val="28"/>
          <w:szCs w:val="28"/>
        </w:rPr>
        <w:t>COPC Project Overview</w:t>
      </w:r>
    </w:p>
    <w:p w14:paraId="0E2FC712" w14:textId="77777777" w:rsidR="00532B55" w:rsidRDefault="00532B55">
      <w:pPr>
        <w:rPr>
          <w:sz w:val="28"/>
          <w:szCs w:val="28"/>
        </w:rPr>
      </w:pPr>
    </w:p>
    <w:p w14:paraId="59F4C64B" w14:textId="77777777" w:rsidR="00532B55" w:rsidRDefault="00862B11">
      <w:r>
        <w:t xml:space="preserve">The COPC research project requirement will allow residents to build skills in problem identification, problem solving, and need-based intervention on the community level.  Residents will work with interdisciplinary teams within their community health center setting to identify needs of relevant stakeholders, plan and develop an intervention, and implement their intervention.  This is an opportunity for residents to contribute to the increased </w:t>
      </w:r>
      <w:proofErr w:type="gramStart"/>
      <w:r>
        <w:t>well-being</w:t>
      </w:r>
      <w:proofErr w:type="gramEnd"/>
      <w:r>
        <w:t xml:space="preserve"> of the underserved/underprivileged populations treated within their community health center setting.  Beyond their daily complex medical needs, community health center patients will typically face social and societal challenges that can be addressed in partnership with community stakeholders.  In the COPC model, practitioners will be able to leverage community partnerships to enhance patient care leading to increased quality.  </w:t>
      </w:r>
    </w:p>
    <w:p w14:paraId="1E681366" w14:textId="77777777" w:rsidR="00532B55" w:rsidRDefault="00532B55">
      <w:pPr>
        <w:jc w:val="both"/>
        <w:rPr>
          <w:sz w:val="28"/>
          <w:szCs w:val="28"/>
        </w:rPr>
      </w:pPr>
    </w:p>
    <w:p w14:paraId="19BCF5F7" w14:textId="77777777" w:rsidR="00532B55" w:rsidRDefault="00862B11">
      <w:pPr>
        <w:jc w:val="both"/>
        <w:rPr>
          <w:sz w:val="28"/>
          <w:szCs w:val="28"/>
        </w:rPr>
      </w:pPr>
      <w:r>
        <w:rPr>
          <w:b/>
          <w:sz w:val="28"/>
          <w:szCs w:val="28"/>
        </w:rPr>
        <w:t>COPC Problem Solving Methods</w:t>
      </w:r>
    </w:p>
    <w:p w14:paraId="0134CA45" w14:textId="77777777" w:rsidR="00532B55" w:rsidRDefault="00532B55">
      <w:pPr>
        <w:jc w:val="both"/>
        <w:rPr>
          <w:sz w:val="28"/>
          <w:szCs w:val="28"/>
        </w:rPr>
      </w:pPr>
    </w:p>
    <w:p w14:paraId="61405BC2" w14:textId="77777777" w:rsidR="00532B55" w:rsidRDefault="00862B11">
      <w:pPr>
        <w:jc w:val="both"/>
      </w:pPr>
      <w:r>
        <w:t xml:space="preserve">Throughout the COPC project experience, residents should adhere to the following process: </w:t>
      </w:r>
    </w:p>
    <w:p w14:paraId="7D0CFF22" w14:textId="77777777" w:rsidR="00532B55" w:rsidRDefault="00862B11">
      <w:pPr>
        <w:numPr>
          <w:ilvl w:val="0"/>
          <w:numId w:val="2"/>
        </w:numPr>
        <w:ind w:hanging="360"/>
        <w:jc w:val="both"/>
      </w:pPr>
      <w:r>
        <w:t>Identify an interdisciplinary team</w:t>
      </w:r>
    </w:p>
    <w:p w14:paraId="76A4C8F7" w14:textId="77777777" w:rsidR="00532B55" w:rsidRDefault="00862B11">
      <w:pPr>
        <w:numPr>
          <w:ilvl w:val="0"/>
          <w:numId w:val="2"/>
        </w:numPr>
        <w:ind w:hanging="360"/>
        <w:jc w:val="both"/>
      </w:pPr>
      <w:r>
        <w:t xml:space="preserve">Work with CHC team to identify problems, deficiencies, or gaps in the ability to provide patient care. </w:t>
      </w:r>
    </w:p>
    <w:p w14:paraId="2ABE9143" w14:textId="77777777" w:rsidR="00532B55" w:rsidRDefault="00862B11">
      <w:pPr>
        <w:numPr>
          <w:ilvl w:val="1"/>
          <w:numId w:val="2"/>
        </w:numPr>
        <w:ind w:hanging="360"/>
        <w:jc w:val="both"/>
      </w:pPr>
      <w:r>
        <w:t xml:space="preserve">This can be accomplished via focus groups, Quality Improvement analysis, community outreach efforts, and various other methods.  The resident should work with their </w:t>
      </w:r>
      <w:r w:rsidR="00B878B7">
        <w:t>LPD</w:t>
      </w:r>
      <w:r>
        <w:t xml:space="preserve"> on identifying a proper venue.</w:t>
      </w:r>
    </w:p>
    <w:p w14:paraId="6BD76F9C" w14:textId="77777777" w:rsidR="00532B55" w:rsidRDefault="00862B11">
      <w:pPr>
        <w:numPr>
          <w:ilvl w:val="0"/>
          <w:numId w:val="2"/>
        </w:numPr>
        <w:ind w:hanging="360"/>
        <w:jc w:val="both"/>
      </w:pPr>
      <w:r>
        <w:t>Assess the severity of identified problems and create a priority list.</w:t>
      </w:r>
    </w:p>
    <w:p w14:paraId="42E19D52" w14:textId="77777777" w:rsidR="00532B55" w:rsidRDefault="00862B11">
      <w:pPr>
        <w:numPr>
          <w:ilvl w:val="0"/>
          <w:numId w:val="2"/>
        </w:numPr>
        <w:ind w:hanging="360"/>
        <w:jc w:val="both"/>
      </w:pPr>
      <w:r>
        <w:t xml:space="preserve">Develop an intervention or study.  </w:t>
      </w:r>
    </w:p>
    <w:p w14:paraId="645D311F" w14:textId="77777777" w:rsidR="00532B55" w:rsidRDefault="00862B11">
      <w:pPr>
        <w:numPr>
          <w:ilvl w:val="0"/>
          <w:numId w:val="2"/>
        </w:numPr>
        <w:ind w:hanging="360"/>
        <w:jc w:val="both"/>
      </w:pPr>
      <w:r>
        <w:t>Implement, measure (process &amp; outcome), and report their intervention.</w:t>
      </w:r>
    </w:p>
    <w:p w14:paraId="66326666" w14:textId="77777777" w:rsidR="00532B55" w:rsidRDefault="00532B55">
      <w:pPr>
        <w:jc w:val="both"/>
      </w:pPr>
    </w:p>
    <w:p w14:paraId="368F45BA" w14:textId="77777777" w:rsidR="00532B55" w:rsidRDefault="00862B11">
      <w:pPr>
        <w:jc w:val="both"/>
        <w:rPr>
          <w:sz w:val="28"/>
          <w:szCs w:val="28"/>
        </w:rPr>
      </w:pPr>
      <w:r>
        <w:rPr>
          <w:b/>
          <w:sz w:val="28"/>
          <w:szCs w:val="28"/>
        </w:rPr>
        <w:lastRenderedPageBreak/>
        <w:t>Project Framework</w:t>
      </w:r>
    </w:p>
    <w:p w14:paraId="3172AEE9" w14:textId="77777777" w:rsidR="00532B55" w:rsidRDefault="00862B11">
      <w:pPr>
        <w:jc w:val="both"/>
      </w:pPr>
      <w:r>
        <w:rPr>
          <w:b/>
          <w:sz w:val="28"/>
          <w:szCs w:val="28"/>
        </w:rPr>
        <w:tab/>
      </w:r>
      <w:r>
        <w:t xml:space="preserve">-For detailed information, please refer to the Wright Center National Network Family Medicine Program Scholarly Activity Guidelines. </w:t>
      </w:r>
    </w:p>
    <w:p w14:paraId="17ACFF48" w14:textId="77777777" w:rsidR="00532B55" w:rsidRDefault="00532B55">
      <w:pPr>
        <w:jc w:val="both"/>
      </w:pPr>
    </w:p>
    <w:p w14:paraId="62CA3071" w14:textId="77777777" w:rsidR="00532B55" w:rsidRDefault="00862B11">
      <w:pPr>
        <w:jc w:val="both"/>
      </w:pPr>
      <w:r>
        <w:rPr>
          <w:b/>
        </w:rPr>
        <w:t xml:space="preserve">Year 1 </w:t>
      </w:r>
    </w:p>
    <w:p w14:paraId="01B13D3D" w14:textId="77777777" w:rsidR="00532B55" w:rsidRDefault="00862B11">
      <w:pPr>
        <w:jc w:val="both"/>
      </w:pPr>
      <w:r>
        <w:t xml:space="preserve">Year 1 objectives: define COPC, assess community needs, perform preliminary literature search, identify needs to be addressed, develop a hypothesis, develop specific aims, propose intervention strategies, research questions and implementation plan.  Write a preliminary research proposal with your group and submit to both Dr. Navarro and Dr. </w:t>
      </w:r>
      <w:proofErr w:type="spellStart"/>
      <w:r>
        <w:t>LeBeau</w:t>
      </w:r>
      <w:proofErr w:type="spellEnd"/>
      <w:r>
        <w:t xml:space="preserve"> by </w:t>
      </w:r>
      <w:r w:rsidR="00B878B7">
        <w:t>March 31st</w:t>
      </w:r>
      <w:r>
        <w:t xml:space="preserve"> of year 1.  </w:t>
      </w:r>
    </w:p>
    <w:p w14:paraId="07870D01" w14:textId="77777777" w:rsidR="00532B55" w:rsidRDefault="00532B55">
      <w:pPr>
        <w:jc w:val="both"/>
      </w:pPr>
    </w:p>
    <w:p w14:paraId="630A898C" w14:textId="77777777" w:rsidR="00532B55" w:rsidRDefault="00862B11">
      <w:pPr>
        <w:jc w:val="both"/>
      </w:pPr>
      <w:r>
        <w:rPr>
          <w:b/>
        </w:rPr>
        <w:tab/>
        <w:t xml:space="preserve">-Identify Partners: </w:t>
      </w:r>
      <w:r>
        <w:t xml:space="preserve">It will be important to identify individuals within your CHC that you will work with to identify a problem or need within the CHC.  This will be the foundation for your project.  </w:t>
      </w:r>
    </w:p>
    <w:p w14:paraId="264BBACF" w14:textId="77777777" w:rsidR="00532B55" w:rsidRDefault="00862B11">
      <w:pPr>
        <w:jc w:val="both"/>
      </w:pPr>
      <w:r>
        <w:rPr>
          <w:b/>
          <w:sz w:val="28"/>
          <w:szCs w:val="28"/>
        </w:rPr>
        <w:tab/>
      </w:r>
      <w:r>
        <w:rPr>
          <w:b/>
        </w:rPr>
        <w:t xml:space="preserve">-Assess proposed/identified problem: </w:t>
      </w:r>
      <w:r>
        <w:t>Background research and literature review are essential to move beyond this step.  You will need a solid foundational knowledge of your topic in order to produce quality results in your project.</w:t>
      </w:r>
    </w:p>
    <w:p w14:paraId="424A6487" w14:textId="77777777" w:rsidR="00532B55" w:rsidRDefault="00862B11">
      <w:pPr>
        <w:jc w:val="both"/>
      </w:pPr>
      <w:r>
        <w:tab/>
      </w:r>
      <w:r>
        <w:rPr>
          <w:b/>
        </w:rPr>
        <w:t xml:space="preserve">-Develop an action plan: </w:t>
      </w:r>
      <w:r>
        <w:t>It is important to have your project intervention well defined and well thought out before implementation.</w:t>
      </w:r>
    </w:p>
    <w:p w14:paraId="3AFF53E7" w14:textId="77777777" w:rsidR="00532B55" w:rsidRDefault="00532B55">
      <w:pPr>
        <w:jc w:val="both"/>
      </w:pPr>
    </w:p>
    <w:p w14:paraId="70429BFB" w14:textId="77777777" w:rsidR="00532B55" w:rsidRDefault="00862B11">
      <w:pPr>
        <w:jc w:val="both"/>
      </w:pPr>
      <w:r>
        <w:rPr>
          <w:b/>
        </w:rPr>
        <w:t>Year 2</w:t>
      </w:r>
    </w:p>
    <w:p w14:paraId="4666EEEF" w14:textId="77777777" w:rsidR="00532B55" w:rsidRDefault="00862B11">
      <w:r>
        <w:t xml:space="preserve">Year 2 objectives: Revise project proposal if indicated, obtain IRB approval, implement project, monitor results. (Note: Monthly progress reporting during COPC months and use of shared Google document to continue) </w:t>
      </w:r>
    </w:p>
    <w:p w14:paraId="75E91F50" w14:textId="77777777" w:rsidR="00532B55" w:rsidRDefault="00532B55">
      <w:pPr>
        <w:jc w:val="both"/>
        <w:rPr>
          <w:sz w:val="28"/>
          <w:szCs w:val="28"/>
        </w:rPr>
      </w:pPr>
    </w:p>
    <w:p w14:paraId="0B632DC3" w14:textId="77777777" w:rsidR="00532B55" w:rsidRDefault="00862B11">
      <w:pPr>
        <w:jc w:val="both"/>
      </w:pPr>
      <w:r>
        <w:rPr>
          <w:sz w:val="28"/>
          <w:szCs w:val="28"/>
        </w:rPr>
        <w:tab/>
        <w:t>-</w:t>
      </w:r>
      <w:r>
        <w:rPr>
          <w:b/>
        </w:rPr>
        <w:t>Apply to ATSU and TWC IRBs:</w:t>
      </w:r>
      <w:r>
        <w:tab/>
        <w:t>Depending on your partner institution, you may need to submit you project to additional IRBs.  It is important to start this this step as early as possible.  Your proposal is subject to multiple levels of IRB oversight and this determination is required before you can move any further.  Please work closely with Dr. Navarro in order to make the IRB process run as smooth as possible for you and your group.</w:t>
      </w:r>
    </w:p>
    <w:p w14:paraId="76DF4251" w14:textId="77777777" w:rsidR="00532B55" w:rsidRDefault="00532B55">
      <w:pPr>
        <w:jc w:val="both"/>
      </w:pPr>
    </w:p>
    <w:p w14:paraId="6E000B45" w14:textId="77777777" w:rsidR="00532B55" w:rsidRDefault="00862B11">
      <w:pPr>
        <w:jc w:val="both"/>
      </w:pPr>
      <w:bookmarkStart w:id="1" w:name="_gjdgxs" w:colFirst="0" w:colLast="0"/>
      <w:bookmarkEnd w:id="1"/>
      <w:r>
        <w:t xml:space="preserve">ATSU IRB: </w:t>
      </w:r>
      <w:hyperlink r:id="rId8">
        <w:r>
          <w:rPr>
            <w:color w:val="0000FF"/>
            <w:u w:val="single"/>
          </w:rPr>
          <w:t>http://guides.atsu.edu/az_irb</w:t>
        </w:r>
      </w:hyperlink>
      <w:hyperlink r:id="rId9"/>
    </w:p>
    <w:p w14:paraId="12BD3AFF" w14:textId="77777777" w:rsidR="00532B55" w:rsidRDefault="00A610A5">
      <w:pPr>
        <w:jc w:val="both"/>
      </w:pPr>
      <w:hyperlink r:id="rId10"/>
    </w:p>
    <w:p w14:paraId="008D15E4" w14:textId="77777777" w:rsidR="00532B55" w:rsidRDefault="00862B11">
      <w:pPr>
        <w:jc w:val="both"/>
      </w:pPr>
      <w:r>
        <w:t xml:space="preserve">TWC IRB: </w:t>
      </w:r>
      <w:hyperlink r:id="rId11">
        <w:r>
          <w:rPr>
            <w:color w:val="0000FF"/>
            <w:u w:val="single"/>
          </w:rPr>
          <w:t>http://thewrightcenter.org/graduate-medical-education/research/institutional-review-board/</w:t>
        </w:r>
      </w:hyperlink>
      <w:hyperlink r:id="rId12"/>
    </w:p>
    <w:p w14:paraId="3F8D89B8" w14:textId="77777777" w:rsidR="00532B55" w:rsidRDefault="00A610A5">
      <w:pPr>
        <w:jc w:val="both"/>
      </w:pPr>
      <w:hyperlink r:id="rId13"/>
    </w:p>
    <w:p w14:paraId="33E93309" w14:textId="77777777" w:rsidR="00532B55" w:rsidRDefault="00862B11">
      <w:pPr>
        <w:jc w:val="both"/>
      </w:pPr>
      <w:r>
        <w:tab/>
      </w:r>
      <w:r>
        <w:rPr>
          <w:b/>
        </w:rPr>
        <w:t>-Project Implementation:</w:t>
      </w:r>
      <w:r>
        <w:t xml:space="preserve"> Upon IRB approval, you will be ready for project implementation</w:t>
      </w:r>
    </w:p>
    <w:p w14:paraId="1457A163" w14:textId="77777777" w:rsidR="00532B55" w:rsidRDefault="00532B55">
      <w:pPr>
        <w:jc w:val="both"/>
      </w:pPr>
    </w:p>
    <w:p w14:paraId="00D70087" w14:textId="77777777" w:rsidR="00532B55" w:rsidRDefault="00862B11">
      <w:pPr>
        <w:jc w:val="both"/>
        <w:rPr>
          <w:sz w:val="28"/>
          <w:szCs w:val="28"/>
        </w:rPr>
      </w:pPr>
      <w:r>
        <w:rPr>
          <w:b/>
          <w:sz w:val="28"/>
          <w:szCs w:val="28"/>
        </w:rPr>
        <w:t>Year 3</w:t>
      </w:r>
    </w:p>
    <w:p w14:paraId="533BD8F0" w14:textId="77777777" w:rsidR="00532B55" w:rsidRDefault="00862B11">
      <w:r>
        <w:lastRenderedPageBreak/>
        <w:t>Year 3 objectives: Compile and discuss results, evaluate outcomes, make conclusions and recommendations. Prepare and submit manuscript or poster for publication.  (Note: continue required monthly reporting during COPC months and sharing progress/outcomes in shared document.)</w:t>
      </w:r>
    </w:p>
    <w:p w14:paraId="39FE5B3C" w14:textId="77777777" w:rsidR="00532B55" w:rsidRDefault="00532B55">
      <w:pPr>
        <w:jc w:val="both"/>
        <w:rPr>
          <w:sz w:val="28"/>
          <w:szCs w:val="28"/>
        </w:rPr>
      </w:pPr>
    </w:p>
    <w:p w14:paraId="6DFEEF40" w14:textId="77777777" w:rsidR="00532B55" w:rsidRDefault="00862B11">
      <w:pPr>
        <w:numPr>
          <w:ilvl w:val="0"/>
          <w:numId w:val="1"/>
        </w:numPr>
        <w:ind w:hanging="360"/>
        <w:contextualSpacing/>
        <w:jc w:val="both"/>
      </w:pPr>
      <w:r>
        <w:rPr>
          <w:b/>
        </w:rPr>
        <w:t xml:space="preserve">Written analysis of your project: </w:t>
      </w:r>
    </w:p>
    <w:p w14:paraId="682D5E03" w14:textId="77777777" w:rsidR="00532B55" w:rsidRDefault="00862B11">
      <w:pPr>
        <w:numPr>
          <w:ilvl w:val="1"/>
          <w:numId w:val="1"/>
        </w:numPr>
        <w:ind w:hanging="360"/>
        <w:contextualSpacing/>
        <w:jc w:val="both"/>
      </w:pPr>
      <w:r>
        <w:t>-Data collection and compilation</w:t>
      </w:r>
    </w:p>
    <w:p w14:paraId="2F7C8B5B" w14:textId="77777777" w:rsidR="00532B55" w:rsidRDefault="00862B11">
      <w:pPr>
        <w:numPr>
          <w:ilvl w:val="1"/>
          <w:numId w:val="1"/>
        </w:numPr>
        <w:ind w:hanging="360"/>
        <w:contextualSpacing/>
        <w:jc w:val="both"/>
      </w:pPr>
      <w:r>
        <w:t>-Data analysis</w:t>
      </w:r>
    </w:p>
    <w:p w14:paraId="57FAFBF9" w14:textId="77777777" w:rsidR="00532B55" w:rsidRDefault="00862B11">
      <w:pPr>
        <w:numPr>
          <w:ilvl w:val="1"/>
          <w:numId w:val="1"/>
        </w:numPr>
        <w:ind w:hanging="360"/>
        <w:contextualSpacing/>
        <w:jc w:val="both"/>
      </w:pPr>
      <w:r>
        <w:t>-Development of conclusions and recommendations</w:t>
      </w:r>
    </w:p>
    <w:p w14:paraId="52A15819" w14:textId="77777777" w:rsidR="00532B55" w:rsidRDefault="00862B11">
      <w:pPr>
        <w:numPr>
          <w:ilvl w:val="0"/>
          <w:numId w:val="1"/>
        </w:numPr>
        <w:ind w:hanging="360"/>
        <w:contextualSpacing/>
        <w:jc w:val="both"/>
      </w:pPr>
      <w:r>
        <w:rPr>
          <w:b/>
        </w:rPr>
        <w:t>Presentation of findings and recommendations to stakeholders</w:t>
      </w:r>
    </w:p>
    <w:p w14:paraId="12BD8C5B" w14:textId="77777777" w:rsidR="00B878B7" w:rsidRDefault="00862B11" w:rsidP="00B878B7">
      <w:pPr>
        <w:numPr>
          <w:ilvl w:val="1"/>
          <w:numId w:val="1"/>
        </w:numPr>
        <w:ind w:hanging="360"/>
        <w:contextualSpacing/>
        <w:jc w:val="both"/>
      </w:pPr>
      <w:r>
        <w:t>-Prepar</w:t>
      </w:r>
      <w:r w:rsidR="00B878B7">
        <w:t>ation of a written presentation</w:t>
      </w:r>
    </w:p>
    <w:p w14:paraId="0CBE274C" w14:textId="77777777" w:rsidR="00B878B7" w:rsidRDefault="00B878B7" w:rsidP="00B878B7">
      <w:pPr>
        <w:numPr>
          <w:ilvl w:val="0"/>
          <w:numId w:val="1"/>
        </w:numPr>
        <w:contextualSpacing/>
        <w:jc w:val="both"/>
      </w:pPr>
      <w:r>
        <w:t>Project abstract submitted to the TWC Virtual Health   Research Fair (VHRF)</w:t>
      </w:r>
    </w:p>
    <w:p w14:paraId="75F656D6" w14:textId="77777777" w:rsidR="00532B55" w:rsidRDefault="00B878B7" w:rsidP="00B878B7">
      <w:pPr>
        <w:numPr>
          <w:ilvl w:val="0"/>
          <w:numId w:val="1"/>
        </w:numPr>
        <w:contextualSpacing/>
        <w:jc w:val="both"/>
      </w:pPr>
      <w:r>
        <w:t>Final poster for presentation at the VHRF</w:t>
      </w:r>
    </w:p>
    <w:p w14:paraId="066E53D8" w14:textId="77777777" w:rsidR="00B878B7" w:rsidRDefault="00B878B7" w:rsidP="00B878B7">
      <w:pPr>
        <w:numPr>
          <w:ilvl w:val="0"/>
          <w:numId w:val="1"/>
        </w:numPr>
        <w:contextualSpacing/>
        <w:jc w:val="both"/>
      </w:pPr>
      <w:r>
        <w:t>Residents are encouraged to present their work to all community partners as well</w:t>
      </w:r>
    </w:p>
    <w:p w14:paraId="519341EF" w14:textId="77777777" w:rsidR="00B878B7" w:rsidRDefault="00B878B7" w:rsidP="00B878B7">
      <w:pPr>
        <w:contextualSpacing/>
        <w:jc w:val="both"/>
      </w:pPr>
    </w:p>
    <w:p w14:paraId="19555E12" w14:textId="39B6205C" w:rsidR="00B878B7" w:rsidRDefault="00DE08D6" w:rsidP="00B878B7">
      <w:pPr>
        <w:contextualSpacing/>
        <w:jc w:val="both"/>
        <w:rPr>
          <w:b/>
        </w:rPr>
      </w:pPr>
      <w:r>
        <w:rPr>
          <w:b/>
        </w:rPr>
        <w:t xml:space="preserve">For Residents Transferring in </w:t>
      </w:r>
      <w:r w:rsidR="00B878B7">
        <w:rPr>
          <w:b/>
        </w:rPr>
        <w:t>to the Program Year 2</w:t>
      </w:r>
    </w:p>
    <w:p w14:paraId="7B068FC2" w14:textId="77777777" w:rsidR="00B878B7" w:rsidRDefault="00B878B7" w:rsidP="00B878B7">
      <w:pPr>
        <w:contextualSpacing/>
        <w:jc w:val="both"/>
        <w:rPr>
          <w:b/>
        </w:rPr>
      </w:pPr>
    </w:p>
    <w:p w14:paraId="45C600A9" w14:textId="77777777" w:rsidR="00B878B7" w:rsidRPr="00B878B7" w:rsidRDefault="00B878B7" w:rsidP="00B878B7">
      <w:pPr>
        <w:contextualSpacing/>
        <w:jc w:val="both"/>
      </w:pPr>
      <w:r>
        <w:rPr>
          <w:b/>
        </w:rPr>
        <w:tab/>
      </w:r>
      <w:r>
        <w:t xml:space="preserve">Transfer residents will not be required to complete the case abstract and rapid cycle PDSAs for year 1.  However, residents will be required to complete all other requirements, including online modules.  Residents will utilize their first two COPC blocks to catch up on modules from year one and develop an action plan for completing their COPC project. This will take place under the guidance of the COPC director, the program director, and the LPD.  </w:t>
      </w:r>
    </w:p>
    <w:p w14:paraId="58141E8C" w14:textId="77777777" w:rsidR="00532B55" w:rsidRDefault="00532B55">
      <w:pPr>
        <w:jc w:val="both"/>
      </w:pPr>
    </w:p>
    <w:p w14:paraId="16E4C1D2" w14:textId="77777777" w:rsidR="00532B55" w:rsidRDefault="00862B11">
      <w:pPr>
        <w:jc w:val="both"/>
        <w:rPr>
          <w:sz w:val="28"/>
          <w:szCs w:val="28"/>
        </w:rPr>
      </w:pPr>
      <w:r>
        <w:rPr>
          <w:b/>
          <w:sz w:val="28"/>
          <w:szCs w:val="28"/>
        </w:rPr>
        <w:t>Issues to Avoid</w:t>
      </w:r>
    </w:p>
    <w:p w14:paraId="60EC4A69" w14:textId="77777777" w:rsidR="00532B55" w:rsidRDefault="00532B55">
      <w:pPr>
        <w:jc w:val="both"/>
        <w:rPr>
          <w:sz w:val="28"/>
          <w:szCs w:val="28"/>
        </w:rPr>
      </w:pPr>
    </w:p>
    <w:p w14:paraId="63EF9607" w14:textId="77777777" w:rsidR="00532B55" w:rsidRDefault="00862B11">
      <w:pPr>
        <w:jc w:val="both"/>
      </w:pPr>
      <w:r>
        <w:rPr>
          <w:b/>
        </w:rPr>
        <w:t>-Procrastination:</w:t>
      </w:r>
      <w:r>
        <w:t xml:space="preserve">  There are many, many responsibilities to pay attention to during residency.  Proper planning and time management for your COPC project can be the difference between this requirement being enriching to your professional career or being burdensome to you.</w:t>
      </w:r>
    </w:p>
    <w:p w14:paraId="795B7C5B" w14:textId="77777777" w:rsidR="00532B55" w:rsidRDefault="00532B55">
      <w:pPr>
        <w:jc w:val="both"/>
      </w:pPr>
    </w:p>
    <w:p w14:paraId="45BEABE4" w14:textId="77777777" w:rsidR="00532B55" w:rsidRDefault="00862B11">
      <w:pPr>
        <w:jc w:val="both"/>
      </w:pPr>
      <w:r>
        <w:rPr>
          <w:b/>
        </w:rPr>
        <w:t xml:space="preserve">-Lack of Communication: </w:t>
      </w:r>
      <w:r>
        <w:t xml:space="preserve">It is very important to reach out for assistance as often as needed.  </w:t>
      </w:r>
    </w:p>
    <w:p w14:paraId="3ED514FB" w14:textId="77777777" w:rsidR="00532B55" w:rsidRDefault="00532B55">
      <w:pPr>
        <w:jc w:val="both"/>
      </w:pPr>
    </w:p>
    <w:p w14:paraId="0F92C225" w14:textId="77777777" w:rsidR="00532B55" w:rsidRDefault="00862B11">
      <w:pPr>
        <w:jc w:val="both"/>
      </w:pPr>
      <w:r>
        <w:rPr>
          <w:b/>
        </w:rPr>
        <w:t xml:space="preserve">-Lack of preparation/due diligence: </w:t>
      </w:r>
      <w:r>
        <w:t>Please be well versed in your topic.  Proper preparation will lead to overall success of your project.</w:t>
      </w:r>
    </w:p>
    <w:sectPr w:rsidR="00532B55">
      <w:headerReference w:type="default" r:id="rId14"/>
      <w:footerReference w:type="default" r:id="rId15"/>
      <w:pgSz w:w="12240" w:h="15840"/>
      <w:pgMar w:top="2592"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DBF1CD" w14:textId="77777777" w:rsidR="006113CB" w:rsidRDefault="006113CB">
      <w:r>
        <w:separator/>
      </w:r>
    </w:p>
  </w:endnote>
  <w:endnote w:type="continuationSeparator" w:id="0">
    <w:p w14:paraId="0A46FA04" w14:textId="77777777" w:rsidR="006113CB" w:rsidRDefault="0061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08BF6" w14:textId="77777777" w:rsidR="00532B55" w:rsidRDefault="00532B55">
    <w:pPr>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A55FE" w14:textId="77777777" w:rsidR="006113CB" w:rsidRDefault="006113CB">
      <w:r>
        <w:separator/>
      </w:r>
    </w:p>
  </w:footnote>
  <w:footnote w:type="continuationSeparator" w:id="0">
    <w:p w14:paraId="086F8398" w14:textId="77777777" w:rsidR="006113CB" w:rsidRDefault="006113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5C05F" w14:textId="77777777" w:rsidR="00532B55" w:rsidRDefault="00862B11">
    <w:pPr>
      <w:spacing w:before="720"/>
    </w:pPr>
    <w:r>
      <w:rPr>
        <w:noProof/>
      </w:rPr>
      <w:drawing>
        <wp:anchor distT="0" distB="0" distL="114300" distR="114300" simplePos="0" relativeHeight="251658240" behindDoc="0" locked="0" layoutInCell="0" hidden="0" allowOverlap="1" wp14:anchorId="176859CF" wp14:editId="194A0FA0">
          <wp:simplePos x="0" y="0"/>
          <wp:positionH relativeFrom="margin">
            <wp:posOffset>3175</wp:posOffset>
          </wp:positionH>
          <wp:positionV relativeFrom="paragraph">
            <wp:posOffset>258445</wp:posOffset>
          </wp:positionV>
          <wp:extent cx="4115435" cy="46101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4115435" cy="461010"/>
                  </a:xfrm>
                  <a:prstGeom prst="rect">
                    <a:avLst/>
                  </a:prstGeom>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852BF"/>
    <w:multiLevelType w:val="hybridMultilevel"/>
    <w:tmpl w:val="75F0176E"/>
    <w:lvl w:ilvl="0" w:tplc="37ECC260">
      <w:start w:val="1"/>
      <w:numFmt w:val="bullet"/>
      <w:lvlText w:val="-"/>
      <w:lvlJc w:val="left"/>
      <w:pPr>
        <w:ind w:left="1080" w:hanging="360"/>
      </w:pPr>
      <w:rPr>
        <w:rFonts w:ascii="Arial" w:eastAsia="Arial"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E3A1EC3"/>
    <w:multiLevelType w:val="multilevel"/>
    <w:tmpl w:val="BD18C1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784844B1"/>
    <w:multiLevelType w:val="multilevel"/>
    <w:tmpl w:val="EA369A24"/>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2B55"/>
    <w:rsid w:val="00310B2B"/>
    <w:rsid w:val="00532B55"/>
    <w:rsid w:val="006113CB"/>
    <w:rsid w:val="00841028"/>
    <w:rsid w:val="00862B11"/>
    <w:rsid w:val="00A610A5"/>
    <w:rsid w:val="00B878B7"/>
    <w:rsid w:val="00DE0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A2A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878B7"/>
    <w:pPr>
      <w:tabs>
        <w:tab w:val="center" w:pos="4680"/>
        <w:tab w:val="right" w:pos="9360"/>
      </w:tabs>
    </w:pPr>
  </w:style>
  <w:style w:type="character" w:customStyle="1" w:styleId="HeaderChar">
    <w:name w:val="Header Char"/>
    <w:basedOn w:val="DefaultParagraphFont"/>
    <w:link w:val="Header"/>
    <w:uiPriority w:val="99"/>
    <w:rsid w:val="00B878B7"/>
  </w:style>
  <w:style w:type="paragraph" w:styleId="Footer">
    <w:name w:val="footer"/>
    <w:basedOn w:val="Normal"/>
    <w:link w:val="FooterChar"/>
    <w:uiPriority w:val="99"/>
    <w:unhideWhenUsed/>
    <w:rsid w:val="00B878B7"/>
    <w:pPr>
      <w:tabs>
        <w:tab w:val="center" w:pos="4680"/>
        <w:tab w:val="right" w:pos="9360"/>
      </w:tabs>
    </w:pPr>
  </w:style>
  <w:style w:type="character" w:customStyle="1" w:styleId="FooterChar">
    <w:name w:val="Footer Char"/>
    <w:basedOn w:val="DefaultParagraphFont"/>
    <w:link w:val="Footer"/>
    <w:uiPriority w:val="99"/>
    <w:rsid w:val="00B878B7"/>
  </w:style>
  <w:style w:type="paragraph" w:styleId="ListParagraph">
    <w:name w:val="List Paragraph"/>
    <w:basedOn w:val="Normal"/>
    <w:uiPriority w:val="34"/>
    <w:qFormat/>
    <w:rsid w:val="0084102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878B7"/>
    <w:pPr>
      <w:tabs>
        <w:tab w:val="center" w:pos="4680"/>
        <w:tab w:val="right" w:pos="9360"/>
      </w:tabs>
    </w:pPr>
  </w:style>
  <w:style w:type="character" w:customStyle="1" w:styleId="HeaderChar">
    <w:name w:val="Header Char"/>
    <w:basedOn w:val="DefaultParagraphFont"/>
    <w:link w:val="Header"/>
    <w:uiPriority w:val="99"/>
    <w:rsid w:val="00B878B7"/>
  </w:style>
  <w:style w:type="paragraph" w:styleId="Footer">
    <w:name w:val="footer"/>
    <w:basedOn w:val="Normal"/>
    <w:link w:val="FooterChar"/>
    <w:uiPriority w:val="99"/>
    <w:unhideWhenUsed/>
    <w:rsid w:val="00B878B7"/>
    <w:pPr>
      <w:tabs>
        <w:tab w:val="center" w:pos="4680"/>
        <w:tab w:val="right" w:pos="9360"/>
      </w:tabs>
    </w:pPr>
  </w:style>
  <w:style w:type="character" w:customStyle="1" w:styleId="FooterChar">
    <w:name w:val="Footer Char"/>
    <w:basedOn w:val="DefaultParagraphFont"/>
    <w:link w:val="Footer"/>
    <w:uiPriority w:val="99"/>
    <w:rsid w:val="00B878B7"/>
  </w:style>
  <w:style w:type="paragraph" w:styleId="ListParagraph">
    <w:name w:val="List Paragraph"/>
    <w:basedOn w:val="Normal"/>
    <w:uiPriority w:val="34"/>
    <w:qFormat/>
    <w:rsid w:val="00841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8046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wrightcenter.org/graduate-medical-education/research/institutional-review-board/" TargetMode="External"/><Relationship Id="rId12" Type="http://schemas.openxmlformats.org/officeDocument/2006/relationships/hyperlink" Target="http://thewrightcenter.org/graduate-medical-education/research/institutional-review-board/" TargetMode="External"/><Relationship Id="rId13" Type="http://schemas.openxmlformats.org/officeDocument/2006/relationships/hyperlink" Target="http://thewrightcenter.org/graduate-medical-education/research/institutional-review-board/"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uides.atsu.edu/az_irb" TargetMode="External"/><Relationship Id="rId9" Type="http://schemas.openxmlformats.org/officeDocument/2006/relationships/hyperlink" Target="http://guides.atsu.edu/az_irb" TargetMode="External"/><Relationship Id="rId10" Type="http://schemas.openxmlformats.org/officeDocument/2006/relationships/hyperlink" Target="http://guides.atsu.edu/az_ir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1115</Words>
  <Characters>6360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Isaac Navarro</cp:lastModifiedBy>
  <cp:revision>4</cp:revision>
  <dcterms:created xsi:type="dcterms:W3CDTF">2017-03-12T02:57:00Z</dcterms:created>
  <dcterms:modified xsi:type="dcterms:W3CDTF">2017-04-14T16:22:00Z</dcterms:modified>
</cp:coreProperties>
</file>